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1020"/>
        <w:tblW w:w="10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7655"/>
      </w:tblGrid>
      <w:tr w:rsidR="004176B6" w:rsidTr="004176B6">
        <w:trPr>
          <w:trHeight w:val="837"/>
        </w:trPr>
        <w:tc>
          <w:tcPr>
            <w:tcW w:w="2695" w:type="dxa"/>
            <w:hideMark/>
          </w:tcPr>
          <w:p w:rsidR="004176B6" w:rsidRDefault="004176B6" w:rsidP="004176B6">
            <w:pPr>
              <w:snapToGrid w:val="0"/>
              <w:jc w:val="both"/>
              <w:rPr>
                <w:color w:val="000000"/>
                <w:sz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-269240</wp:posOffset>
                  </wp:positionH>
                  <wp:positionV relativeFrom="paragraph">
                    <wp:posOffset>-19685</wp:posOffset>
                  </wp:positionV>
                  <wp:extent cx="2155825" cy="723900"/>
                  <wp:effectExtent l="0" t="0" r="0" b="0"/>
                  <wp:wrapNone/>
                  <wp:docPr id="3" name="Imagem 3" descr="ifggoiniaoesteresum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ifggoiniaoesteresum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  <w:hideMark/>
          </w:tcPr>
          <w:p w:rsidR="004176B6" w:rsidRDefault="004176B6" w:rsidP="004176B6">
            <w:pPr>
              <w:snapToGrid w:val="0"/>
              <w:spacing w:after="0"/>
              <w:ind w:left="21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MINISTÉRIO DA EDUCAÇÃO</w:t>
            </w:r>
          </w:p>
          <w:p w:rsidR="004176B6" w:rsidRDefault="004176B6" w:rsidP="004176B6">
            <w:pPr>
              <w:spacing w:after="0"/>
              <w:ind w:left="21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SECRETARIA DE EDUCAÇÃO PROFISSIONAL E TECNOLÓGICA</w:t>
            </w:r>
          </w:p>
          <w:p w:rsidR="004176B6" w:rsidRDefault="004176B6" w:rsidP="004176B6">
            <w:pPr>
              <w:spacing w:after="0"/>
              <w:ind w:left="21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INSTITUTO FEDERAL DE EDUCAÇÃO, CIÊNCIA E TECNOLOGIA DE GOIÁS</w:t>
            </w:r>
          </w:p>
          <w:p w:rsidR="004176B6" w:rsidRDefault="004176B6" w:rsidP="004176B6">
            <w:pPr>
              <w:pStyle w:val="Ttulo2"/>
              <w:widowControl/>
              <w:numPr>
                <w:ilvl w:val="0"/>
                <w:numId w:val="0"/>
              </w:numPr>
              <w:tabs>
                <w:tab w:val="num" w:pos="0"/>
              </w:tabs>
              <w:spacing w:before="0" w:after="0"/>
              <w:ind w:left="214"/>
              <w:rPr>
                <w:rFonts w:ascii="Times New Roman" w:hAnsi="Times New Roman"/>
                <w:b w:val="0"/>
                <w:color w:val="000000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  <w:t>CÂMPUS GOIÂNIA OESTE</w:t>
            </w:r>
          </w:p>
          <w:p w:rsidR="004176B6" w:rsidRDefault="004176B6" w:rsidP="004176B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ar-SA"/>
              </w:rPr>
              <w:t xml:space="preserve">     DEPARTAMENTO DE ÁREAS ACADÊMICAS</w:t>
            </w:r>
          </w:p>
          <w:p w:rsidR="004176B6" w:rsidRDefault="004176B6" w:rsidP="004176B6">
            <w:pPr>
              <w:spacing w:after="0"/>
              <w:ind w:left="214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COORDENAÇÃO DO CURSO DE LICENCIATURA EM PEDAGOGIA</w:t>
            </w:r>
          </w:p>
        </w:tc>
      </w:tr>
    </w:tbl>
    <w:p w:rsidR="008A3825" w:rsidRDefault="008A3825" w:rsidP="008A3825">
      <w:pPr>
        <w:pStyle w:val="SemEspaamento"/>
        <w:spacing w:line="276" w:lineRule="auto"/>
        <w:jc w:val="both"/>
        <w:rPr>
          <w:b/>
          <w:sz w:val="32"/>
          <w:szCs w:val="32"/>
        </w:rPr>
      </w:pPr>
    </w:p>
    <w:p w:rsidR="008A3825" w:rsidRDefault="008A3825" w:rsidP="008A3825">
      <w:pPr>
        <w:rPr>
          <w:b/>
          <w:sz w:val="32"/>
          <w:szCs w:val="32"/>
        </w:rPr>
      </w:pPr>
    </w:p>
    <w:p w:rsidR="008A3825" w:rsidRPr="00FC3CDB" w:rsidRDefault="008A3825" w:rsidP="008A3825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Da natureza dos Estágios curriculares Supervisionados no curso de Licenciatura em Pedagogia</w:t>
      </w:r>
    </w:p>
    <w:p w:rsidR="00653306" w:rsidRDefault="00653306" w:rsidP="00653306">
      <w:pPr>
        <w:spacing w:after="0" w:line="360" w:lineRule="auto"/>
        <w:rPr>
          <w:rFonts w:ascii="Times New Roman" w:hAnsi="Times New Roman"/>
          <w:b/>
          <w:color w:val="000000"/>
          <w:szCs w:val="24"/>
        </w:rPr>
      </w:pPr>
    </w:p>
    <w:p w:rsidR="0055724F" w:rsidRDefault="0055724F" w:rsidP="00557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55724F" w:rsidRPr="00623DF3" w:rsidRDefault="0055724F" w:rsidP="00557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Cs w:val="24"/>
          <w:lang w:eastAsia="pt-BR"/>
        </w:rPr>
        <w:t>A</w:t>
      </w: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Prática como Componente Curricular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 xml:space="preserve"> está em </w:t>
      </w: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>c</w:t>
      </w: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orrelação </w:t>
      </w:r>
      <w:r>
        <w:rPr>
          <w:rFonts w:ascii="Times New Roman" w:eastAsia="Times New Roman" w:hAnsi="Times New Roman"/>
          <w:color w:val="000000"/>
          <w:szCs w:val="24"/>
          <w:lang w:eastAsia="pt-BR"/>
        </w:rPr>
        <w:t>com o</w:t>
      </w: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 eixo formativo por período com conforme quadro:</w:t>
      </w:r>
    </w:p>
    <w:p w:rsidR="0055724F" w:rsidRPr="00623DF3" w:rsidRDefault="0055724F" w:rsidP="00557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55724F" w:rsidRPr="00623DF3" w:rsidRDefault="0055724F" w:rsidP="0055724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623DF3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Quadro 7: Disciplinas do eixo por período e a relação intrínseca com o Eixo central do curso e a Prática como componente curricular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3125"/>
        <w:gridCol w:w="2368"/>
      </w:tblGrid>
      <w:tr w:rsidR="0055724F" w:rsidRPr="00623DF3" w:rsidTr="00CE51D7">
        <w:tc>
          <w:tcPr>
            <w:tcW w:w="1668" w:type="dxa"/>
            <w:shd w:val="clear" w:color="auto" w:fill="BFBFBF"/>
            <w:vAlign w:val="center"/>
          </w:tcPr>
          <w:p w:rsidR="0055724F" w:rsidRPr="00623DF3" w:rsidRDefault="0055724F" w:rsidP="00CE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55724F" w:rsidRPr="00623DF3" w:rsidRDefault="0055724F" w:rsidP="00CE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493" w:type="dxa"/>
            <w:gridSpan w:val="2"/>
            <w:shd w:val="clear" w:color="auto" w:fill="BFBFBF"/>
            <w:vAlign w:val="center"/>
          </w:tcPr>
          <w:p w:rsidR="0055724F" w:rsidRPr="00623DF3" w:rsidRDefault="0055724F" w:rsidP="00CE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DISCIPLINAS:</w:t>
            </w:r>
          </w:p>
        </w:tc>
      </w:tr>
      <w:tr w:rsidR="0055724F" w:rsidRPr="00623DF3" w:rsidTr="00CE51D7">
        <w:tc>
          <w:tcPr>
            <w:tcW w:w="1668" w:type="dxa"/>
            <w:shd w:val="clear" w:color="auto" w:fill="BFBFBF"/>
            <w:vAlign w:val="center"/>
          </w:tcPr>
          <w:p w:rsidR="0055724F" w:rsidRPr="00623DF3" w:rsidRDefault="0055724F" w:rsidP="00CE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EIXO DO CURSO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55724F" w:rsidRPr="00623DF3" w:rsidRDefault="0055724F" w:rsidP="00CE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 xml:space="preserve">PERÍODOS </w:t>
            </w:r>
          </w:p>
        </w:tc>
        <w:tc>
          <w:tcPr>
            <w:tcW w:w="3125" w:type="dxa"/>
            <w:shd w:val="clear" w:color="auto" w:fill="BFBFBF"/>
            <w:vAlign w:val="center"/>
          </w:tcPr>
          <w:p w:rsidR="0055724F" w:rsidRPr="00623DF3" w:rsidRDefault="0055724F" w:rsidP="00CE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EIXO POR PERÍODO</w:t>
            </w:r>
          </w:p>
        </w:tc>
        <w:tc>
          <w:tcPr>
            <w:tcW w:w="2368" w:type="dxa"/>
            <w:shd w:val="clear" w:color="auto" w:fill="BFBFBF"/>
            <w:vAlign w:val="center"/>
          </w:tcPr>
          <w:p w:rsidR="0055724F" w:rsidRPr="00623DF3" w:rsidRDefault="0055724F" w:rsidP="00CE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PRÁTICA COMO COMPONENTE CURRICULAR</w:t>
            </w:r>
          </w:p>
        </w:tc>
      </w:tr>
      <w:tr w:rsidR="0055724F" w:rsidRPr="00623DF3" w:rsidTr="00CE51D7">
        <w:tc>
          <w:tcPr>
            <w:tcW w:w="1668" w:type="dxa"/>
            <w:vMerge w:val="restart"/>
            <w:shd w:val="clear" w:color="auto" w:fill="F2F2F2"/>
            <w:vAlign w:val="center"/>
          </w:tcPr>
          <w:p w:rsidR="0055724F" w:rsidRPr="00623DF3" w:rsidRDefault="0055724F" w:rsidP="00CE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t-BR"/>
              </w:rPr>
              <w:t>EDUCADOR SOCIAL</w:t>
            </w:r>
          </w:p>
        </w:tc>
        <w:tc>
          <w:tcPr>
            <w:tcW w:w="1559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1º</w:t>
            </w:r>
          </w:p>
        </w:tc>
        <w:tc>
          <w:tcPr>
            <w:tcW w:w="3125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Educação social</w:t>
            </w:r>
          </w:p>
        </w:tc>
        <w:tc>
          <w:tcPr>
            <w:tcW w:w="2368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Prática de ensino/Estudos integradores: Educação e Sociedade</w:t>
            </w:r>
          </w:p>
        </w:tc>
      </w:tr>
      <w:tr w:rsidR="0055724F" w:rsidRPr="00623DF3" w:rsidTr="00CE51D7">
        <w:tc>
          <w:tcPr>
            <w:tcW w:w="1668" w:type="dxa"/>
            <w:vMerge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2º</w:t>
            </w:r>
          </w:p>
        </w:tc>
        <w:tc>
          <w:tcPr>
            <w:tcW w:w="3125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Antropologia e educação</w:t>
            </w:r>
          </w:p>
        </w:tc>
        <w:tc>
          <w:tcPr>
            <w:tcW w:w="2368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Prática de ensino/Estudos integradores: Educação e Cultura</w:t>
            </w:r>
          </w:p>
        </w:tc>
      </w:tr>
      <w:tr w:rsidR="0055724F" w:rsidRPr="00623DF3" w:rsidTr="00CE51D7">
        <w:tc>
          <w:tcPr>
            <w:tcW w:w="1668" w:type="dxa"/>
            <w:vMerge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3º</w:t>
            </w:r>
          </w:p>
        </w:tc>
        <w:tc>
          <w:tcPr>
            <w:tcW w:w="3125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Trabalho, movimentos Sociais e Educação</w:t>
            </w:r>
          </w:p>
        </w:tc>
        <w:tc>
          <w:tcPr>
            <w:tcW w:w="2368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Prática de ensino/Estudos integradores: Educação e Trabalho</w:t>
            </w:r>
          </w:p>
        </w:tc>
      </w:tr>
      <w:tr w:rsidR="0055724F" w:rsidRPr="00623DF3" w:rsidTr="00CE51D7">
        <w:tc>
          <w:tcPr>
            <w:tcW w:w="1668" w:type="dxa"/>
            <w:vMerge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4º</w:t>
            </w:r>
          </w:p>
        </w:tc>
        <w:tc>
          <w:tcPr>
            <w:tcW w:w="3125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Sujeito e Educação</w:t>
            </w:r>
          </w:p>
        </w:tc>
        <w:tc>
          <w:tcPr>
            <w:tcW w:w="2368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Prática de ensino/Estudos integradores: Educação e Desenvolvimento Humano</w:t>
            </w:r>
          </w:p>
        </w:tc>
      </w:tr>
      <w:tr w:rsidR="0055724F" w:rsidRPr="00623DF3" w:rsidTr="00CE51D7">
        <w:tc>
          <w:tcPr>
            <w:tcW w:w="1668" w:type="dxa"/>
            <w:vMerge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5º</w:t>
            </w:r>
          </w:p>
        </w:tc>
        <w:tc>
          <w:tcPr>
            <w:tcW w:w="3125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Cidadania e Educação</w:t>
            </w:r>
          </w:p>
        </w:tc>
        <w:tc>
          <w:tcPr>
            <w:tcW w:w="2368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Prática de ensino/Estudos integradores: Educação e Política</w:t>
            </w:r>
          </w:p>
        </w:tc>
      </w:tr>
      <w:tr w:rsidR="0055724F" w:rsidRPr="00623DF3" w:rsidTr="00CE51D7">
        <w:tc>
          <w:tcPr>
            <w:tcW w:w="1668" w:type="dxa"/>
            <w:vMerge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6º</w:t>
            </w:r>
          </w:p>
        </w:tc>
        <w:tc>
          <w:tcPr>
            <w:tcW w:w="3125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Processos educativos nas ações coletivas</w:t>
            </w:r>
          </w:p>
        </w:tc>
        <w:tc>
          <w:tcPr>
            <w:tcW w:w="2368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Prática de ensino/Estudos integradores: Educação e Escola</w:t>
            </w:r>
          </w:p>
        </w:tc>
      </w:tr>
      <w:tr w:rsidR="0055724F" w:rsidRPr="00623DF3" w:rsidTr="00CE51D7">
        <w:tc>
          <w:tcPr>
            <w:tcW w:w="1668" w:type="dxa"/>
            <w:vMerge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7º</w:t>
            </w:r>
          </w:p>
        </w:tc>
        <w:tc>
          <w:tcPr>
            <w:tcW w:w="3125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Ciência, Tecnologia e Sociedade</w:t>
            </w:r>
          </w:p>
        </w:tc>
        <w:tc>
          <w:tcPr>
            <w:tcW w:w="2368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Prática de ensino/Estudos integradores: Educação e Pesquisa</w:t>
            </w:r>
          </w:p>
        </w:tc>
      </w:tr>
      <w:tr w:rsidR="0055724F" w:rsidRPr="00623DF3" w:rsidTr="00CE51D7">
        <w:tc>
          <w:tcPr>
            <w:tcW w:w="1668" w:type="dxa"/>
            <w:vMerge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8º</w:t>
            </w:r>
          </w:p>
        </w:tc>
        <w:tc>
          <w:tcPr>
            <w:tcW w:w="3125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Corpo, Trabalho e Educação</w:t>
            </w:r>
          </w:p>
        </w:tc>
        <w:tc>
          <w:tcPr>
            <w:tcW w:w="2368" w:type="dxa"/>
            <w:shd w:val="clear" w:color="auto" w:fill="F2F2F2"/>
          </w:tcPr>
          <w:p w:rsidR="0055724F" w:rsidRPr="00623DF3" w:rsidRDefault="0055724F" w:rsidP="00CE51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623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Prática de ensino/Estudos integradores: Educação e Gestão</w:t>
            </w:r>
          </w:p>
        </w:tc>
      </w:tr>
    </w:tbl>
    <w:p w:rsidR="0055724F" w:rsidRPr="00623DF3" w:rsidRDefault="0055724F" w:rsidP="005572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623DF3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Fonte: Matriz curricular do curso de Licenciatura em Pedagogia</w:t>
      </w:r>
    </w:p>
    <w:p w:rsidR="0055724F" w:rsidRPr="00623DF3" w:rsidRDefault="0055724F" w:rsidP="005572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</w:p>
    <w:p w:rsidR="0055724F" w:rsidRPr="00623DF3" w:rsidRDefault="0055724F" w:rsidP="0055724F">
      <w:pPr>
        <w:pStyle w:val="Textodenotaderodap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23D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Trata-se do Núcleo que tem como finalidade propiciar o enriquecimento curricular por meio de atividades coletivas, as quais serão coordenadas por dois ou mais docentes, a depender do projeto proposto para o desenvolvimento das temáticas constantes nas </w:t>
      </w:r>
      <w:r w:rsidRPr="00623D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ementas das disciplinas. </w:t>
      </w:r>
      <w:r w:rsidRPr="00623DF3">
        <w:rPr>
          <w:rFonts w:ascii="Times New Roman" w:eastAsia="Times New Roman" w:hAnsi="Times New Roman"/>
          <w:color w:val="000000"/>
          <w:sz w:val="24"/>
          <w:szCs w:val="24"/>
          <w:lang w:val="pt-BR" w:eastAsia="pt-BR"/>
        </w:rPr>
        <w:t>Nas Diretrizes específicas para o curso de licenciatura em Pedagogia, e</w:t>
      </w:r>
      <w:r w:rsidRPr="00623DF3">
        <w:rPr>
          <w:rFonts w:ascii="Times New Roman" w:hAnsi="Times New Roman"/>
          <w:color w:val="000000"/>
          <w:sz w:val="24"/>
          <w:szCs w:val="24"/>
        </w:rPr>
        <w:t xml:space="preserve">ssas atividades constituem: </w:t>
      </w:r>
    </w:p>
    <w:p w:rsidR="0055724F" w:rsidRPr="00623DF3" w:rsidRDefault="0055724F" w:rsidP="0055724F">
      <w:pPr>
        <w:pStyle w:val="Textodenotaderodap"/>
        <w:spacing w:after="0" w:line="240" w:lineRule="auto"/>
        <w:ind w:left="2268"/>
        <w:jc w:val="both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623DF3">
        <w:rPr>
          <w:rFonts w:ascii="Times New Roman" w:hAnsi="Times New Roman"/>
          <w:color w:val="000000"/>
          <w:sz w:val="22"/>
          <w:szCs w:val="22"/>
        </w:rPr>
        <w:t xml:space="preserve">a) seminários e estudos curriculares, em projetos de iniciação científica, monitoria e extensão, diretamente orientados pelo corpo docente da instituição de educação superior; </w:t>
      </w:r>
    </w:p>
    <w:p w:rsidR="0055724F" w:rsidRPr="00623DF3" w:rsidRDefault="0055724F" w:rsidP="0055724F">
      <w:pPr>
        <w:pStyle w:val="Textodenotaderodap"/>
        <w:spacing w:after="0" w:line="240" w:lineRule="auto"/>
        <w:ind w:left="2268"/>
        <w:jc w:val="both"/>
        <w:rPr>
          <w:rFonts w:ascii="Times New Roman" w:hAnsi="Times New Roman"/>
          <w:color w:val="000000"/>
          <w:sz w:val="22"/>
          <w:szCs w:val="22"/>
          <w:lang w:val="pt-BR"/>
        </w:rPr>
      </w:pPr>
      <w:r w:rsidRPr="00623DF3">
        <w:rPr>
          <w:rFonts w:ascii="Times New Roman" w:hAnsi="Times New Roman"/>
          <w:color w:val="000000"/>
          <w:sz w:val="22"/>
          <w:szCs w:val="22"/>
        </w:rPr>
        <w:t xml:space="preserve">b)atividades práticas, de modo a propiciar vivências, nas mais diferentes áreas do campo educacional, assegurando aprofundamentos e diversificação de estudos, experiências e utilização de recursos pedagógicos; </w:t>
      </w:r>
    </w:p>
    <w:p w:rsidR="0055724F" w:rsidRPr="00623DF3" w:rsidRDefault="0055724F" w:rsidP="0055724F">
      <w:pPr>
        <w:pStyle w:val="Textodenotaderodap"/>
        <w:spacing w:after="0" w:line="240" w:lineRule="auto"/>
        <w:ind w:left="2268"/>
        <w:jc w:val="both"/>
        <w:rPr>
          <w:rFonts w:ascii="Times New Roman" w:hAnsi="Times New Roman"/>
          <w:color w:val="000000"/>
          <w:sz w:val="22"/>
          <w:szCs w:val="22"/>
        </w:rPr>
      </w:pPr>
      <w:r w:rsidRPr="00623DF3">
        <w:rPr>
          <w:rFonts w:ascii="Times New Roman" w:hAnsi="Times New Roman"/>
          <w:color w:val="000000"/>
          <w:sz w:val="22"/>
          <w:szCs w:val="22"/>
        </w:rPr>
        <w:t>c) atividades de comunicação e expressão cultural (BRASIL, 2006, p.4).</w:t>
      </w:r>
    </w:p>
    <w:p w:rsidR="0055724F" w:rsidRPr="00623DF3" w:rsidRDefault="0055724F" w:rsidP="00557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55724F" w:rsidRPr="00623DF3" w:rsidRDefault="0055724F" w:rsidP="005572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Essas atividades também estão propostas nas Diretrizes Curriculares Nacionais para a formação inicial em nível superior, como consta no Artigo 12, Inciso III da Resolução Nº 2/ 2015:</w:t>
      </w:r>
    </w:p>
    <w:p w:rsidR="0055724F" w:rsidRPr="00623DF3" w:rsidRDefault="0055724F" w:rsidP="005572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55724F" w:rsidRPr="00623DF3" w:rsidRDefault="0055724F" w:rsidP="0055724F">
      <w:p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Os cursos de formação inicial, respeitadas a diversidade nacional e a autonomia pedagógica das instituições, constituir-se-ão dos seguintes núcleos: [...]</w:t>
      </w:r>
    </w:p>
    <w:p w:rsidR="0055724F" w:rsidRPr="00623DF3" w:rsidRDefault="0055724F" w:rsidP="0055724F">
      <w:p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III - núcleo de estudos integradores para enriquecimento curricular, compreendendo a participação em: </w:t>
      </w:r>
    </w:p>
    <w:p w:rsidR="0055724F" w:rsidRPr="00623DF3" w:rsidRDefault="0055724F" w:rsidP="0055724F">
      <w:p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a) seminários e estudos curriculares, em projetos de iniciação científica, iniciação à docência, residência docente, monitoria e extensão, entre outros, definidos no projeto institucional da instituição de educação superior e diretamente orientados pelo corpo docente da mesma instituição; </w:t>
      </w:r>
    </w:p>
    <w:p w:rsidR="0055724F" w:rsidRPr="00623DF3" w:rsidRDefault="0055724F" w:rsidP="0055724F">
      <w:p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b) atividades práticas articuladas entre os sistemas de ensino e instituições educativas de modo a propiciar vivências nas diferentes áreas do campo educacional, assegurando aprofundamento e diversificação de estudos, experiências e utilização de recursos pedagógicos;</w:t>
      </w:r>
    </w:p>
    <w:p w:rsidR="0055724F" w:rsidRPr="00623DF3" w:rsidRDefault="0055724F" w:rsidP="0055724F">
      <w:p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 xml:space="preserve">c) mobilidade estudantil, intercâmbio e outras atividades previstas no PPC; </w:t>
      </w:r>
    </w:p>
    <w:p w:rsidR="0055724F" w:rsidRPr="00623DF3" w:rsidRDefault="0055724F" w:rsidP="0055724F">
      <w:p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 w:val="20"/>
          <w:szCs w:val="20"/>
          <w:lang w:eastAsia="pt-BR"/>
        </w:rPr>
      </w:pPr>
      <w:r w:rsidRPr="00623DF3">
        <w:rPr>
          <w:rFonts w:ascii="Times New Roman" w:eastAsia="Times New Roman" w:hAnsi="Times New Roman"/>
          <w:color w:val="000000"/>
          <w:sz w:val="20"/>
          <w:szCs w:val="20"/>
          <w:lang w:eastAsia="pt-BR"/>
        </w:rPr>
        <w:t>d) atividades de comunicação e expressão visando à aquisição e à apropriação de recursos de linguagem capazes de comunicar, interpretar a realidade estudada e criar conexões com a vida social. (BRASIL, 2015, p.9 -10-11).</w:t>
      </w:r>
    </w:p>
    <w:p w:rsidR="0055724F" w:rsidRPr="00623DF3" w:rsidRDefault="0055724F" w:rsidP="0055724F">
      <w:pPr>
        <w:spacing w:after="0" w:line="240" w:lineRule="auto"/>
        <w:ind w:left="2268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:rsidR="0055724F" w:rsidRPr="00623DF3" w:rsidRDefault="0055724F" w:rsidP="00557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Nesta perspectiva, a finalidade do Núcleo Complementar/Estudos Integradores é justamente possibilitar o aprofundamento da formação teórico-prática do Educador Social. Assim, institucionalmente, essas disciplinas compõem a Prática de Ensino, as quais são consideradas essenciais em cada componente curricular, principalmente devido à intencionalidade de indissociabilidade da teoria e a prática. Por isso, além das disciplinas específicas desse núcleo, as disciplinas de Fundamentos e Metodologias do Ensino (Matemática, Língua Portuguesa, Ciências, Geografia, História, Artes e Educação Especial e inclusão) também têm essa finalidade de propor estudos/atividades, cujo objetivo é a pesquisa, a reflexão, a análise e síntese textual da relação teoria-prática.</w:t>
      </w:r>
    </w:p>
    <w:p w:rsidR="0055724F" w:rsidRPr="00623DF3" w:rsidRDefault="0055724F" w:rsidP="00557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As chamadas Disciplinas de Eixo têm o objetivo de aprofundar abordagens teóricas constantes em suas ementas. Essas disciplinas estão estritamente articuladas às </w:t>
      </w: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lastRenderedPageBreak/>
        <w:t xml:space="preserve">Disciplinas de Prática como Componente Curricular (PCC), uma vez que o aprofundamento teórico dispensado nas Disciplinas de Eixo é complementado pelas PCCs não só pelo viés teórico, mas, sobretudo pela vivência e possibilidade de realização de Trabalhos de Campo, por meio da utilização do instrumental teórico apreendido para análises, compreensões e experimentações nos diversos contextos socioeducacionais que podem se configurar como lócus de campo de estudo, observando os objetivos dispostos nas ementas das disciplinas de Eixo e PCCs. </w:t>
      </w:r>
    </w:p>
    <w:p w:rsidR="0055724F" w:rsidRPr="00623DF3" w:rsidRDefault="0055724F" w:rsidP="00557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As Práticas como Componente Curricular, configuram, portanto, a ação educativa com base nas perspectivas teóricas apreendidas nas Disciplinas de Eixo, visando à manipulação das ferramentas teóricas conceituais para a análise das diversas realidades de espaços constitutivos da relação ensino – aprendizagem, sejam estes espaços não escolares e/ou escolares. </w:t>
      </w:r>
    </w:p>
    <w:p w:rsidR="0055724F" w:rsidRPr="00623DF3" w:rsidRDefault="0055724F" w:rsidP="00557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A formalização para a concretização dos trabalhos a serem desenvolvidos nas Disciplinas de Prática como Componente Curricular deve se dar por meio da elaboração de Projetos Integradores que visem contemplar o objetivo das ementas das PCCs articulados às Disciplinas de Eixo. Tais projetos poderão ser formalizados contemplando a base teórica estudada no Eixo do período integrando à PCC do período, bem como poderão ser realizados conjuntamente entre períodos diversificados do curso, desde que observados os objetivos das ementas e articulando-os de forma a contemplar os objetivos dos conhecimentos a serem adquiridos nas disciplinas de Eixo e PCCs destes períodos selecionados para o trabalho conjunto. </w:t>
      </w:r>
    </w:p>
    <w:p w:rsidR="0055724F" w:rsidRPr="00623DF3" w:rsidRDefault="0055724F" w:rsidP="00557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>Em quaisquer dos casos, seja a articulação da disciplina de Eixo do Período com a PCC do período ou a articulação entre Eixos e PCCs de períodos diversificados, é indispensável a formalização de um Projeto Integrador por parte da/do professor (a) responsável ou equipe responsável pela(s) PCC(s). Este projeto se constituirá da apresentação do público-alvo – período ou períodos do curso contemplados – apresentação da (s) temática (s) a ser abordada (s) e formas de execução – considerando a(s) ementa(s) – justificativa, objetivos gerais e específicos, lócus de execução e período de execução, instrumentos de avaliação e bibliografia. Estes projetos devem ser encaminhados à Coordenação do Curso a cada início de semestre.</w:t>
      </w:r>
    </w:p>
    <w:p w:rsidR="0055724F" w:rsidRPr="00623DF3" w:rsidRDefault="0055724F" w:rsidP="00557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As Disciplinas de Prática como Componente Curricular devem, ao final de seus períodos, apresentar relatórios finais individuais e/ou coletivos das experiências dos estudantes articuladas às concepções teóricas, os quais devem ser entregues à Coordenação do curso para procedimentos de registro e guarda da documentação. Estes </w:t>
      </w: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lastRenderedPageBreak/>
        <w:t xml:space="preserve">relatórios finais são elaborados pelos estudantes a partir de suas vivências e experimentações nas PCCs e avaliados pela/o (s) professor/a (s) e/ou equipe que coordenou a PCC do período. </w:t>
      </w:r>
    </w:p>
    <w:p w:rsidR="0055724F" w:rsidRPr="00623DF3" w:rsidRDefault="0055724F" w:rsidP="00557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A cada início de período do curso deve ser realizada uma autoavaliação, a qual reunirá o coletivo de professores e estudantes de todos os períodos para que compartilhem os relatos dos trabalhos realizados nas Disciplinas de Eixo e de Prática como Componente Curricular no período anterior, sendo que tais relatos se tornam subsídios para o planejamento do semestre corrente nas Disciplinas de Eixo e PCCs. </w:t>
      </w:r>
    </w:p>
    <w:p w:rsidR="0055724F" w:rsidRPr="00623DF3" w:rsidRDefault="0055724F" w:rsidP="0055724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Cs w:val="24"/>
          <w:lang w:eastAsia="pt-BR"/>
        </w:rPr>
      </w:pPr>
      <w:r w:rsidRPr="00623DF3">
        <w:rPr>
          <w:rFonts w:ascii="Times New Roman" w:eastAsia="Times New Roman" w:hAnsi="Times New Roman"/>
          <w:color w:val="000000"/>
          <w:szCs w:val="24"/>
          <w:lang w:eastAsia="pt-BR"/>
        </w:rPr>
        <w:t xml:space="preserve">Assim, o desenvolvimento das Disciplinas de Eixo e Disciplinas de Prática como Componente Curricular figuram conforme define a Resolução Nº 2/ 2015 que define as Diretrizes Curriculares Nacionais para a formação inicial em nível superior, preparando as/os futuros/as profissionais do magistério a partir de uma visão ampla dos diversos contextos escolares e não escolares nos quais se concebe elementos de elaboração do conhecimento por meio da articulação teoria e prática fundada no domínio dos conhecimentos científicos, construindo uma rede de trabalho pautada no respeito às diferenças, no reconhecimento e valorização da diversidade étnico-racial, de gênero, sexual, religiosa, geracional, dentre outras, aprimorando percepções sociopolíticas dos contextos educacionais, da construção e consolidação dos preceitos de cidadania, das formas de lidar com as novas tecnologias e a gestão escolar. </w:t>
      </w:r>
    </w:p>
    <w:p w:rsidR="00653306" w:rsidRDefault="00653306"/>
    <w:p w:rsidR="00450F0D" w:rsidRDefault="00450F0D"/>
    <w:sectPr w:rsidR="00450F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167F"/>
    <w:multiLevelType w:val="hybridMultilevel"/>
    <w:tmpl w:val="17AA3856"/>
    <w:lvl w:ilvl="0" w:tplc="0416000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D5617"/>
    <w:multiLevelType w:val="hybridMultilevel"/>
    <w:tmpl w:val="9D94A93A"/>
    <w:lvl w:ilvl="0" w:tplc="6F42B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75E05"/>
    <w:multiLevelType w:val="hybridMultilevel"/>
    <w:tmpl w:val="EDA2EBDC"/>
    <w:lvl w:ilvl="0" w:tplc="B040226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2746723"/>
    <w:multiLevelType w:val="hybridMultilevel"/>
    <w:tmpl w:val="B3ECDE06"/>
    <w:lvl w:ilvl="0" w:tplc="04160005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03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160005">
      <w:start w:val="1"/>
      <w:numFmt w:val="lowerRoman"/>
      <w:pStyle w:val="Ttulo3"/>
      <w:lvlText w:val="%3."/>
      <w:lvlJc w:val="right"/>
      <w:pPr>
        <w:ind w:left="2160" w:hanging="180"/>
      </w:pPr>
    </w:lvl>
    <w:lvl w:ilvl="3" w:tplc="04160001">
      <w:start w:val="1"/>
      <w:numFmt w:val="decimal"/>
      <w:lvlText w:val="%4."/>
      <w:lvlJc w:val="left"/>
      <w:pPr>
        <w:ind w:left="2880" w:hanging="360"/>
      </w:pPr>
    </w:lvl>
    <w:lvl w:ilvl="4" w:tplc="04160003">
      <w:start w:val="1"/>
      <w:numFmt w:val="lowerLetter"/>
      <w:lvlText w:val="%5."/>
      <w:lvlJc w:val="left"/>
      <w:pPr>
        <w:ind w:left="3600" w:hanging="360"/>
      </w:pPr>
    </w:lvl>
    <w:lvl w:ilvl="5" w:tplc="04160005">
      <w:start w:val="1"/>
      <w:numFmt w:val="lowerRoman"/>
      <w:lvlText w:val="%6."/>
      <w:lvlJc w:val="right"/>
      <w:pPr>
        <w:ind w:left="4320" w:hanging="180"/>
      </w:pPr>
    </w:lvl>
    <w:lvl w:ilvl="6" w:tplc="04160001">
      <w:start w:val="1"/>
      <w:numFmt w:val="decimal"/>
      <w:lvlText w:val="%7."/>
      <w:lvlJc w:val="left"/>
      <w:pPr>
        <w:ind w:left="5040" w:hanging="360"/>
      </w:pPr>
    </w:lvl>
    <w:lvl w:ilvl="7" w:tplc="04160003">
      <w:start w:val="1"/>
      <w:numFmt w:val="lowerLetter"/>
      <w:lvlText w:val="%8."/>
      <w:lvlJc w:val="left"/>
      <w:pPr>
        <w:ind w:left="5760" w:hanging="360"/>
      </w:pPr>
    </w:lvl>
    <w:lvl w:ilvl="8" w:tplc="04160005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D7CF2"/>
    <w:multiLevelType w:val="hybridMultilevel"/>
    <w:tmpl w:val="341A5356"/>
    <w:lvl w:ilvl="0" w:tplc="8FE261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C2632"/>
    <w:multiLevelType w:val="hybridMultilevel"/>
    <w:tmpl w:val="025E36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06"/>
    <w:rsid w:val="004176B6"/>
    <w:rsid w:val="00450F0D"/>
    <w:rsid w:val="0050483B"/>
    <w:rsid w:val="0055724F"/>
    <w:rsid w:val="005D6D71"/>
    <w:rsid w:val="00653306"/>
    <w:rsid w:val="006961E8"/>
    <w:rsid w:val="008A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A5E0A-ACCE-4E31-B7C8-4B67907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06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4176B6"/>
    <w:pPr>
      <w:keepNext/>
      <w:widowControl w:val="0"/>
      <w:numPr>
        <w:numId w:val="6"/>
      </w:numPr>
      <w:suppressAutoHyphens/>
      <w:spacing w:before="120" w:after="120" w:line="240" w:lineRule="auto"/>
      <w:outlineLvl w:val="0"/>
    </w:pPr>
    <w:rPr>
      <w:rFonts w:ascii="Times New Roman" w:eastAsia="Lucida Sans Unicode" w:hAnsi="Times New Roman"/>
      <w:b/>
      <w:color w:val="008000"/>
      <w:kern w:val="2"/>
      <w:sz w:val="22"/>
      <w:lang w:val="x-none"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176B6"/>
    <w:pPr>
      <w:keepNext/>
      <w:widowControl w:val="0"/>
      <w:numPr>
        <w:ilvl w:val="1"/>
        <w:numId w:val="6"/>
      </w:numPr>
      <w:suppressAutoHyphens/>
      <w:spacing w:before="120" w:after="120" w:line="240" w:lineRule="auto"/>
      <w:outlineLvl w:val="1"/>
    </w:pPr>
    <w:rPr>
      <w:rFonts w:eastAsia="Lucida Sans Unicode"/>
      <w:b/>
      <w:szCs w:val="24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176B6"/>
    <w:pPr>
      <w:keepNext/>
      <w:widowControl w:val="0"/>
      <w:numPr>
        <w:ilvl w:val="2"/>
        <w:numId w:val="6"/>
      </w:numPr>
      <w:suppressAutoHyphens/>
      <w:spacing w:before="120" w:after="60" w:line="240" w:lineRule="auto"/>
      <w:jc w:val="both"/>
      <w:outlineLvl w:val="2"/>
    </w:pPr>
    <w:rPr>
      <w:rFonts w:ascii="Times New Roman" w:eastAsia="Lucida Sans Unicode" w:hAnsi="Times New Roman"/>
      <w:b/>
      <w:sz w:val="20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3306"/>
    <w:pPr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uiPriority w:val="1"/>
    <w:qFormat/>
    <w:rsid w:val="008A3825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5724F"/>
    <w:rPr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5724F"/>
    <w:rPr>
      <w:rFonts w:ascii="Arial" w:eastAsia="Calibri" w:hAnsi="Arial" w:cs="Times New Roman"/>
      <w:sz w:val="20"/>
      <w:szCs w:val="20"/>
      <w:lang w:val="x-none"/>
    </w:rPr>
  </w:style>
  <w:style w:type="character" w:customStyle="1" w:styleId="Ttulo1Char">
    <w:name w:val="Título 1 Char"/>
    <w:basedOn w:val="Fontepargpadro"/>
    <w:link w:val="Ttulo1"/>
    <w:uiPriority w:val="1"/>
    <w:rsid w:val="004176B6"/>
    <w:rPr>
      <w:rFonts w:ascii="Times New Roman" w:eastAsia="Lucida Sans Unicode" w:hAnsi="Times New Roman" w:cs="Times New Roman"/>
      <w:b/>
      <w:color w:val="008000"/>
      <w:kern w:val="2"/>
      <w:lang w:val="x-none" w:eastAsia="ar-SA"/>
    </w:rPr>
  </w:style>
  <w:style w:type="character" w:customStyle="1" w:styleId="Ttulo2Char">
    <w:name w:val="Título 2 Char"/>
    <w:basedOn w:val="Fontepargpadro"/>
    <w:link w:val="Ttulo2"/>
    <w:semiHidden/>
    <w:rsid w:val="004176B6"/>
    <w:rPr>
      <w:rFonts w:ascii="Arial" w:eastAsia="Lucida Sans Unicode" w:hAnsi="Arial" w:cs="Times New Roman"/>
      <w:b/>
      <w:sz w:val="24"/>
      <w:szCs w:val="24"/>
      <w:lang w:val="x-none" w:eastAsia="ar-SA"/>
    </w:rPr>
  </w:style>
  <w:style w:type="character" w:customStyle="1" w:styleId="Ttulo3Char">
    <w:name w:val="Título 3 Char"/>
    <w:basedOn w:val="Fontepargpadro"/>
    <w:link w:val="Ttulo3"/>
    <w:semiHidden/>
    <w:rsid w:val="004176B6"/>
    <w:rPr>
      <w:rFonts w:ascii="Times New Roman" w:eastAsia="Lucida Sans Unicode" w:hAnsi="Times New Roman" w:cs="Times New Roman"/>
      <w:b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1363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Edinho o.c</dc:creator>
  <cp:keywords/>
  <dc:description/>
  <cp:lastModifiedBy>Edinho o.c</cp:lastModifiedBy>
  <cp:revision>5</cp:revision>
  <dcterms:created xsi:type="dcterms:W3CDTF">2018-04-25T12:58:00Z</dcterms:created>
  <dcterms:modified xsi:type="dcterms:W3CDTF">2018-04-25T13:16:00Z</dcterms:modified>
</cp:coreProperties>
</file>